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C3" w:rsidRDefault="007224C3" w:rsidP="007224C3">
      <w:pPr>
        <w:pStyle w:val="a5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Методичні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рекомендації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2015-2016 н.р.</w:t>
      </w:r>
      <w:r>
        <w:rPr>
          <w:rFonts w:ascii="Arial" w:hAnsi="Arial" w:cs="Arial"/>
          <w:color w:val="333333"/>
          <w:sz w:val="20"/>
          <w:szCs w:val="20"/>
        </w:rPr>
        <w:br/>
        <w:t xml:space="preserve">У 2015/2016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році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закладів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продовжать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«Математика.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5–9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закладів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» (авт. М. Бурда, Ю.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Мальований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Є.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Нелін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Д.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Номіровський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А. Паньков, Н.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Тарасенкова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М.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Чемерис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М.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Якір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),</w:t>
      </w:r>
    </w:p>
    <w:p w:rsidR="007224C3" w:rsidRDefault="007224C3" w:rsidP="007224C3">
      <w:pPr>
        <w:pStyle w:val="a5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затвердженою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наказом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Міністерства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освіти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науки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29.05.2015 № 585 «Про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затвердження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закладів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ІІ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ступеня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»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розміщеною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сайті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Міністерства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освіти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науки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(www.mon.gov.ua/ua//activity/education/56/general-secondary-education/educati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onal_programs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/1349869088/).</w:t>
      </w:r>
      <w:proofErr w:type="gramEnd"/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Звертаємо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увагу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математики внесено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викликані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потребою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розвантаження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матер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іалу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Так,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математики в 5-6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класах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вилучено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елементи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комбінаторики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теорії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ймовірностей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зобов’язані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більше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набувати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найпростіші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комбінаторні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задачі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шляхом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розгляду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можливих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варіантів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на прикладах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пояснювати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випадкової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ймов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ірності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появи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випадкової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зазнала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таких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вилучено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задачі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побудову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у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зв'язку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цим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перерозподілено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темами.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Також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спрощено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державні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вимоги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загальноосвітньої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підготовки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  <w:t xml:space="preserve">За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Типовими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планами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закладів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затвердженими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наказом МОН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29.05.2014 № 664,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математики в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відводиться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4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години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тиждень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(2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години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алгебри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2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години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>).</w:t>
      </w:r>
      <w:r>
        <w:rPr>
          <w:rFonts w:ascii="Arial" w:hAnsi="Arial" w:cs="Arial"/>
          <w:color w:val="333333"/>
          <w:sz w:val="20"/>
          <w:szCs w:val="20"/>
        </w:rPr>
        <w:br/>
        <w:t xml:space="preserve">В основу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побудови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змісту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організації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математики в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покладено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компетентнісний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ідхід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відповідно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якого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кінцевим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результатом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предмета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сформовані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компетентності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сутнісний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опис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подано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розділі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Державні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вимоги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загальноосвітньої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підготовки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».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Починаючи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вивчаються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два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курси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алгебра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геометрія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завданнями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алгебри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виконання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тотожних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перетворень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цілих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дробових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виразів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нерівностей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систем,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достатніх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вільного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математики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суміжних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предметів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також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практичних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застосувань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знання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Важливе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завдання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полягає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залученні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як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засобів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моделювання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реальних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явищ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прикладних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інших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задач. 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посилюється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роль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обґрунтувань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тверджень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індуктивних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дедуктивних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міркувань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різноманітних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алгоритмів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сприяти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розвитку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логічного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мислення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алгоритмічної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культури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школярів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  <w:t xml:space="preserve">Основу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становлять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перетворення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цілих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раціональних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виразів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Важливо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забезпечити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lastRenderedPageBreak/>
        <w:t>формування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школярів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ільно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виконувати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види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перетворень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таких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виразів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передумовою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подальшого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успішного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засвоєння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апарату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інших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шкільних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предметів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Істотного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розвитку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набуває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змістова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нерівностей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Відомості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про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доповнюються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рівносильних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трактується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як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послідовна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заміна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даного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рівносильними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узагальнення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відомостей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про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здобутих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попередні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роки, вводиться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лінійного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однією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змінною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Розглядаються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системи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лінійних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двома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Значне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місце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відводиться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застосуванню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різноманітних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задач.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Важливе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значення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надається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формуванню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застосовувати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алгоритм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задачі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допомогою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У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 xml:space="preserve">вводиться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одне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фундаментальних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понять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—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Також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вводиться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лінійної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графіка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Ц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відомості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використовуються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графічного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ілюстрування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розв’язування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лінійного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однією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змінною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також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системи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двох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лінійних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рівнянь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двома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змінними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Функціональна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лінія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пронизує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весь курс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алгебри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школи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розвивається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тісному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зв’язку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тотожними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перетвореннями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івняннями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нерівностями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Властивості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як правило,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встановлюються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графіками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тобто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на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наочних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уявлень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лише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деякі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властивості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обґрунтовуються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аналітично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міру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оволодіння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теоретичним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матеріалом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кількість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властивостей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ідлягають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поступово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збільшується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значна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увага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відводиться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формуванню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будувати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аналізувати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графіки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характеризувати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за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графіками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які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вони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описують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спроможності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розуміти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функцію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як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певну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математичну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модель реального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  <w:t xml:space="preserve">Головна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л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інія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—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геометричні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фігури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властивості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точка, пряма,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площина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належати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лежати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між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Перші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три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—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геометричні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фігури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 два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останніх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—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відношення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неозначувані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— для них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формулюються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означення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змі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ст</w:t>
      </w:r>
      <w:proofErr w:type="spellEnd"/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розкривається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через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опис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показ, характеристику.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Інші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поняття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курсу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визначаються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властивості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встановлюються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шляхом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доказових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міркувань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має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усвідомити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доведення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теорем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можна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користуватися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означеннями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аксіомами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раніше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доведеними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теоремами.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rFonts w:ascii="Arial" w:hAnsi="Arial" w:cs="Arial"/>
          <w:color w:val="333333"/>
          <w:sz w:val="20"/>
          <w:szCs w:val="20"/>
        </w:rPr>
        <w:t>Фігури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вивчаються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— точка, пряма,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др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ізок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промінь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кут,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трикутник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коло, круг.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Учень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повинен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формулювати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означення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планіметричних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фі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гур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елементів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зображати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їх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малюнку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класифікувати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У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ознайомлюються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основами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геометричної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науки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—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</w:t>
      </w:r>
      <w:proofErr w:type="gramEnd"/>
      <w:r>
        <w:rPr>
          <w:rFonts w:ascii="Arial" w:hAnsi="Arial" w:cs="Arial"/>
          <w:color w:val="333333"/>
          <w:sz w:val="20"/>
          <w:szCs w:val="20"/>
        </w:rPr>
        <w:t>значеннями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аксіомами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теоремами,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основними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методами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доведення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теорем.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Поглиблюються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систематизуються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відомості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lastRenderedPageBreak/>
        <w:t xml:space="preserve">про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геометричні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величини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довжину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градусну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міру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кута,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площу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об’єм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 xml:space="preserve">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навчально-виховному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процесі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можна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використовувати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ідручники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алгебри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геометрії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7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класів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загальноосвітніх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навчальних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закладів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що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видані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попередні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роки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мають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відповідний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гриф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Міністерства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освіти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науки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При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цьому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слід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зважати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особливості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нової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програми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оскільки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вона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ві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др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ізняється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порядком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викладення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матеріалу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певними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спрощеннями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П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час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підготовки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вчителів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уроків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радимо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використовувати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періодичні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фахові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видання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: «Математика в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р</w:t>
      </w:r>
      <w:proofErr w:type="gramEnd"/>
      <w:r>
        <w:rPr>
          <w:rFonts w:ascii="Arial" w:hAnsi="Arial" w:cs="Arial"/>
          <w:color w:val="333333"/>
          <w:sz w:val="20"/>
          <w:szCs w:val="20"/>
        </w:rPr>
        <w:t>ідній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школі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», «Математика», «Математика в школах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України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».</w:t>
      </w:r>
    </w:p>
    <w:p w:rsidR="002C0A1F" w:rsidRDefault="002C0A1F"/>
    <w:sectPr w:rsidR="002C0A1F" w:rsidSect="002C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24C3"/>
    <w:rsid w:val="001D52A1"/>
    <w:rsid w:val="00214223"/>
    <w:rsid w:val="002C0A1F"/>
    <w:rsid w:val="0072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52A1"/>
    <w:rPr>
      <w:b/>
      <w:bCs/>
    </w:rPr>
  </w:style>
  <w:style w:type="character" w:styleId="a4">
    <w:name w:val="Emphasis"/>
    <w:basedOn w:val="a0"/>
    <w:uiPriority w:val="20"/>
    <w:qFormat/>
    <w:rsid w:val="001D52A1"/>
    <w:rPr>
      <w:i/>
      <w:iCs/>
    </w:rPr>
  </w:style>
  <w:style w:type="paragraph" w:styleId="a5">
    <w:name w:val="Normal (Web)"/>
    <w:basedOn w:val="a"/>
    <w:uiPriority w:val="99"/>
    <w:semiHidden/>
    <w:unhideWhenUsed/>
    <w:rsid w:val="007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Company>Microsoft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2016-08-09T17:58:00Z</dcterms:created>
  <dcterms:modified xsi:type="dcterms:W3CDTF">2016-08-09T17:58:00Z</dcterms:modified>
</cp:coreProperties>
</file>